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B9" w:rsidRPr="005F5C9D" w:rsidRDefault="00623AB9" w:rsidP="00082254">
      <w:pPr>
        <w:pStyle w:val="NoSpacing"/>
        <w:ind w:firstLine="0"/>
        <w:rPr>
          <w:b/>
          <w:lang w:val="sr-Cyrl-CS"/>
        </w:rPr>
      </w:pPr>
      <w:r w:rsidRPr="00DB705F">
        <w:rPr>
          <w:b/>
          <w:lang w:val="sr-Cyrl-CS"/>
        </w:rPr>
        <w:t xml:space="preserve">                                          </w:t>
      </w:r>
    </w:p>
    <w:p w:rsidR="00623AB9" w:rsidRPr="00DB705F" w:rsidRDefault="00623AB9" w:rsidP="00623AB9">
      <w:pPr>
        <w:pStyle w:val="NoSpacing"/>
        <w:rPr>
          <w:b/>
          <w:lang w:val="sr-Cyrl-CS"/>
        </w:rPr>
      </w:pPr>
    </w:p>
    <w:tbl>
      <w:tblPr>
        <w:tblW w:w="10602" w:type="dxa"/>
        <w:jc w:val="center"/>
        <w:tblInd w:w="-348" w:type="dxa"/>
        <w:tblBorders>
          <w:bottom w:val="single" w:sz="12" w:space="0" w:color="FF0000"/>
        </w:tblBorders>
        <w:tblLook w:val="01E0"/>
      </w:tblPr>
      <w:tblGrid>
        <w:gridCol w:w="1482"/>
        <w:gridCol w:w="4560"/>
        <w:gridCol w:w="4560"/>
      </w:tblGrid>
      <w:tr w:rsidR="00623AB9" w:rsidTr="00D468E5">
        <w:trPr>
          <w:jc w:val="center"/>
        </w:trPr>
        <w:tc>
          <w:tcPr>
            <w:tcW w:w="1482" w:type="dxa"/>
          </w:tcPr>
          <w:p w:rsidR="00623AB9" w:rsidRDefault="00623AB9" w:rsidP="00D468E5">
            <w:r>
              <w:rPr>
                <w:noProof/>
                <w:lang w:val="en-US"/>
              </w:rPr>
              <w:drawing>
                <wp:inline distT="0" distB="0" distL="0" distR="0">
                  <wp:extent cx="781050" cy="800100"/>
                  <wp:effectExtent l="19050" t="0" r="0" b="0"/>
                  <wp:docPr id="1" name="Picture 1" descr="Samo kr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 krst amblema"/>
                          <pic:cNvPicPr>
                            <a:picLocks noChangeAspect="1" noChangeArrowheads="1"/>
                          </pic:cNvPicPr>
                        </pic:nvPicPr>
                        <pic:blipFill>
                          <a:blip r:embed="rId5"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4560" w:type="dxa"/>
            <w:vAlign w:val="bottom"/>
          </w:tcPr>
          <w:p w:rsidR="00623AB9" w:rsidRDefault="00623AB9" w:rsidP="00D468E5">
            <w:r>
              <w:rPr>
                <w:noProof/>
                <w:lang w:val="en-US"/>
              </w:rPr>
              <w:drawing>
                <wp:inline distT="0" distB="0" distL="0" distR="0">
                  <wp:extent cx="1914525" cy="695325"/>
                  <wp:effectExtent l="19050" t="0" r="9525" b="0"/>
                  <wp:docPr id="2" name="Picture 2" descr="Samo tek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 tekst amblema"/>
                          <pic:cNvPicPr>
                            <a:picLocks noChangeAspect="1" noChangeArrowheads="1"/>
                          </pic:cNvPicPr>
                        </pic:nvPicPr>
                        <pic:blipFill>
                          <a:blip r:embed="rId6"/>
                          <a:srcRect/>
                          <a:stretch>
                            <a:fillRect/>
                          </a:stretch>
                        </pic:blipFill>
                        <pic:spPr bwMode="auto">
                          <a:xfrm>
                            <a:off x="0" y="0"/>
                            <a:ext cx="1914525" cy="695325"/>
                          </a:xfrm>
                          <a:prstGeom prst="rect">
                            <a:avLst/>
                          </a:prstGeom>
                          <a:noFill/>
                          <a:ln w="9525">
                            <a:noFill/>
                            <a:miter lim="800000"/>
                            <a:headEnd/>
                            <a:tailEnd/>
                          </a:ln>
                        </pic:spPr>
                      </pic:pic>
                    </a:graphicData>
                  </a:graphic>
                </wp:inline>
              </w:drawing>
            </w:r>
          </w:p>
        </w:tc>
        <w:tc>
          <w:tcPr>
            <w:tcW w:w="4560" w:type="dxa"/>
          </w:tcPr>
          <w:p w:rsidR="00623AB9" w:rsidRPr="00A86963" w:rsidRDefault="00623AB9" w:rsidP="00D468E5">
            <w:pPr>
              <w:rPr>
                <w:rFonts w:ascii="Cir Times_New_Roman" w:hAnsi="Cir Times_New_Roman"/>
                <w:sz w:val="16"/>
                <w:szCs w:val="16"/>
              </w:rPr>
            </w:pPr>
            <w:r w:rsidRPr="00A86963">
              <w:rPr>
                <w:rFonts w:ascii="Cir Times_New_Roman" w:hAnsi="Cir Times_New_Roman"/>
                <w:sz w:val="16"/>
                <w:szCs w:val="16"/>
              </w:rPr>
              <w:t>16000 Leskovac, ul. Rade Kon</w:t>
            </w:r>
            <w:r w:rsidRPr="00A86963">
              <w:rPr>
                <w:sz w:val="16"/>
                <w:szCs w:val="16"/>
                <w:lang w:val="sr-Cyrl-CS"/>
              </w:rPr>
              <w:t>ч</w:t>
            </w:r>
            <w:r w:rsidRPr="00A86963">
              <w:rPr>
                <w:rFonts w:ascii="Cir Times_New_Roman" w:hAnsi="Cir Times_New_Roman"/>
                <w:sz w:val="16"/>
                <w:szCs w:val="16"/>
              </w:rPr>
              <w:t>ara br. 9                                                 Info pult: 016/252-500, 3454-544; faks: 016/3444-504</w:t>
            </w:r>
          </w:p>
          <w:p w:rsidR="00623AB9" w:rsidRPr="00A86963" w:rsidRDefault="00623AB9" w:rsidP="00D468E5">
            <w:pPr>
              <w:rPr>
                <w:rFonts w:ascii="Arial" w:hAnsi="Arial" w:cs="Arial"/>
                <w:sz w:val="16"/>
                <w:szCs w:val="16"/>
              </w:rPr>
            </w:pPr>
            <w:r w:rsidRPr="00A86963">
              <w:rPr>
                <w:rFonts w:ascii="Arial" w:hAnsi="Arial" w:cs="Arial"/>
                <w:sz w:val="16"/>
                <w:szCs w:val="16"/>
              </w:rPr>
              <w:t xml:space="preserve">website: </w:t>
            </w:r>
            <w:hyperlink r:id="rId7" w:history="1">
              <w:r w:rsidRPr="00A86963">
                <w:rPr>
                  <w:rStyle w:val="Hyperlink"/>
                  <w:rFonts w:ascii="Arial" w:hAnsi="Arial" w:cs="Arial"/>
                  <w:sz w:val="16"/>
                  <w:szCs w:val="16"/>
                </w:rPr>
                <w:t>www.bolnicaleskovac.org</w:t>
              </w:r>
            </w:hyperlink>
            <w:r w:rsidRPr="00A86963">
              <w:rPr>
                <w:rFonts w:ascii="Arial" w:hAnsi="Arial" w:cs="Arial"/>
                <w:sz w:val="16"/>
                <w:szCs w:val="16"/>
              </w:rPr>
              <w:t xml:space="preserve">;                                                    email: </w:t>
            </w:r>
            <w:hyperlink r:id="rId8" w:history="1">
              <w:r w:rsidRPr="00A86963">
                <w:rPr>
                  <w:rStyle w:val="Hyperlink"/>
                  <w:rFonts w:ascii="Arial" w:hAnsi="Arial" w:cs="Arial"/>
                  <w:sz w:val="16"/>
                  <w:szCs w:val="16"/>
                </w:rPr>
                <w:t>uprava.bolnice@bolnicaleskovac.org</w:t>
              </w:r>
            </w:hyperlink>
          </w:p>
          <w:p w:rsidR="00623AB9" w:rsidRPr="00A86963" w:rsidRDefault="00623AB9" w:rsidP="00D468E5">
            <w:pPr>
              <w:rPr>
                <w:rFonts w:ascii="Cir Times_New_Roman" w:hAnsi="Cir Times_New_Roman" w:cs="Arial"/>
                <w:sz w:val="20"/>
                <w:szCs w:val="20"/>
              </w:rPr>
            </w:pPr>
            <w:r w:rsidRPr="00A86963">
              <w:rPr>
                <w:rFonts w:ascii="Cir Times_New_Roman" w:hAnsi="Cir Times_New_Roman" w:cs="Arial"/>
                <w:sz w:val="16"/>
                <w:szCs w:val="16"/>
              </w:rPr>
              <w:t>Mati~ni broj: 17710206                                                                    PIB: 105030888                                                                              Teku}i ra~un: 840-767661-22</w:t>
            </w:r>
          </w:p>
        </w:tc>
      </w:tr>
    </w:tbl>
    <w:p w:rsidR="00623AB9" w:rsidRPr="00C3127B" w:rsidRDefault="00C3127B" w:rsidP="00623AB9">
      <w:pPr>
        <w:rPr>
          <w:rFonts w:asciiTheme="minorHAnsi" w:hAnsiTheme="minorHAnsi"/>
          <w:lang w:val="sr-Cyrl-CS"/>
        </w:rPr>
      </w:pPr>
      <w:r>
        <w:rPr>
          <w:rFonts w:asciiTheme="minorHAnsi" w:hAnsiTheme="minorHAnsi"/>
          <w:lang w:val="sr-Cyrl-CS"/>
        </w:rPr>
        <w:t>30</w:t>
      </w:r>
      <w:r w:rsidR="00082254">
        <w:rPr>
          <w:rFonts w:asciiTheme="minorHAnsi" w:hAnsiTheme="minorHAnsi"/>
          <w:lang w:val="sr-Cyrl-CS"/>
        </w:rPr>
        <w:t>.05.</w:t>
      </w:r>
      <w:r w:rsidR="00623AB9" w:rsidRPr="0014221B">
        <w:rPr>
          <w:rFonts w:ascii="Cir Times_New_Roman" w:hAnsi="Cir Times_New_Roman"/>
        </w:rPr>
        <w:t>2013. god.</w:t>
      </w:r>
    </w:p>
    <w:p w:rsidR="00623AB9" w:rsidRDefault="00082254">
      <w:pPr>
        <w:rPr>
          <w:lang w:val="sr-Cyrl-CS"/>
        </w:rPr>
      </w:pPr>
      <w:r>
        <w:rPr>
          <w:rFonts w:ascii="Cir Times_New_Roman" w:hAnsi="Cir Times_New_Roman"/>
        </w:rPr>
        <w:t xml:space="preserve">  </w:t>
      </w:r>
      <w:r w:rsidR="00623AB9" w:rsidRPr="0014221B">
        <w:rPr>
          <w:rFonts w:ascii="Cir Times_New_Roman" w:hAnsi="Cir Times_New_Roman"/>
        </w:rPr>
        <w:t xml:space="preserve">    </w:t>
      </w:r>
      <w:r w:rsidR="00623AB9" w:rsidRPr="00082254">
        <w:rPr>
          <w:b/>
          <w:lang w:val="sr-Cyrl-CS"/>
        </w:rPr>
        <w:t>ПРЕДМЕТ:</w:t>
      </w:r>
      <w:r w:rsidR="00623AB9">
        <w:rPr>
          <w:lang w:val="sr-Cyrl-CS"/>
        </w:rPr>
        <w:t xml:space="preserve"> Појашњење конкурсне документације за јн 07/13-О – реагенси и потрошни материјал према типу апарата, на захтев понуђач</w:t>
      </w:r>
      <w:r w:rsidR="00C3127B">
        <w:rPr>
          <w:lang w:val="sr-Cyrl-CS"/>
        </w:rPr>
        <w:t>а ''Еуродијагностика'' из Новог Сада од 29</w:t>
      </w:r>
      <w:r w:rsidR="00623AB9">
        <w:rPr>
          <w:lang w:val="sr-Cyrl-CS"/>
        </w:rPr>
        <w:t>.05.2013. године.</w:t>
      </w:r>
    </w:p>
    <w:p w:rsidR="00623AB9" w:rsidRDefault="00623AB9">
      <w:pPr>
        <w:rPr>
          <w:lang w:val="sr-Cyrl-CS"/>
        </w:rPr>
      </w:pPr>
      <w:r>
        <w:rPr>
          <w:lang w:val="sr-Cyrl-CS"/>
        </w:rPr>
        <w:t>Поштовани,</w:t>
      </w:r>
    </w:p>
    <w:p w:rsidR="00623AB9" w:rsidRDefault="00623AB9">
      <w:pPr>
        <w:rPr>
          <w:lang w:val="sr-Cyrl-CS"/>
        </w:rPr>
      </w:pPr>
      <w:r>
        <w:rPr>
          <w:lang w:val="sr-Cyrl-CS"/>
        </w:rPr>
        <w:t xml:space="preserve">У </w:t>
      </w:r>
      <w:r w:rsidR="0077249C">
        <w:rPr>
          <w:lang w:val="sr-Cyrl-CS"/>
        </w:rPr>
        <w:t xml:space="preserve">конкурсној документацији Наручиоца, </w:t>
      </w:r>
      <w:r>
        <w:rPr>
          <w:lang w:val="sr-Cyrl-CS"/>
        </w:rPr>
        <w:t>обрасцу за доказив</w:t>
      </w:r>
      <w:r w:rsidR="00C3127B">
        <w:rPr>
          <w:lang w:val="sr-Cyrl-CS"/>
        </w:rPr>
        <w:t>ање испуњености у</w:t>
      </w:r>
      <w:r w:rsidR="0077249C">
        <w:rPr>
          <w:lang w:val="sr-Cyrl-CS"/>
        </w:rPr>
        <w:t xml:space="preserve">слова , тачка 2.,  дефинисан </w:t>
      </w:r>
      <w:r w:rsidR="00C3127B">
        <w:rPr>
          <w:lang w:val="sr-Cyrl-CS"/>
        </w:rPr>
        <w:t>је обавез</w:t>
      </w:r>
      <w:r w:rsidR="0077249C">
        <w:rPr>
          <w:lang w:val="sr-Cyrl-CS"/>
        </w:rPr>
        <w:t>а</w:t>
      </w:r>
      <w:r w:rsidR="00C3127B">
        <w:rPr>
          <w:lang w:val="sr-Cyrl-CS"/>
        </w:rPr>
        <w:t>н услов за учешће у поступку предметне јавне набавке, а у складу са чланом 75 ЗЈН</w:t>
      </w:r>
      <w:r>
        <w:rPr>
          <w:lang w:val="sr-Cyrl-CS"/>
        </w:rPr>
        <w:t>.</w:t>
      </w:r>
      <w:r w:rsidR="0077249C">
        <w:rPr>
          <w:lang w:val="sr-Cyrl-CS"/>
        </w:rPr>
        <w:t xml:space="preserve"> Доказ за предходно наведен, обавезан  услов за учешће у поступку јавне набавке ближе је уређен и прецизиран у  члану  21. став 1. тачка 2. Правилника о обавезним елементима конкурсне документације. </w:t>
      </w:r>
    </w:p>
    <w:p w:rsidR="0077249C" w:rsidRDefault="00623AB9" w:rsidP="0077249C">
      <w:pPr>
        <w:spacing w:before="100" w:beforeAutospacing="1" w:after="0" w:line="210" w:lineRule="atLeast"/>
        <w:ind w:firstLine="480"/>
        <w:jc w:val="center"/>
        <w:rPr>
          <w:lang w:val="sr-Cyrl-CS"/>
        </w:rPr>
      </w:pPr>
      <w:r w:rsidRPr="00082254">
        <w:rPr>
          <w:b/>
          <w:lang w:val="sr-Cyrl-CS"/>
        </w:rPr>
        <w:t>Појашњење:</w:t>
      </w:r>
      <w:r>
        <w:rPr>
          <w:lang w:val="sr-Cyrl-CS"/>
        </w:rPr>
        <w:t xml:space="preserve"> </w:t>
      </w:r>
      <w:r w:rsidR="0077249C">
        <w:rPr>
          <w:lang w:val="sr-Cyrl-CS"/>
        </w:rPr>
        <w:t>Извод члана 21. Став 1. Тачка 2. Правилника о обавезним елементима конкурсне документације у поступцима јавних набавки.</w:t>
      </w:r>
    </w:p>
    <w:p w:rsidR="0077249C" w:rsidRPr="004506C1" w:rsidRDefault="0077249C" w:rsidP="0077249C">
      <w:pPr>
        <w:spacing w:before="100" w:beforeAutospacing="1" w:after="0" w:line="210" w:lineRule="atLeast"/>
        <w:ind w:firstLine="480"/>
        <w:jc w:val="center"/>
        <w:rPr>
          <w:rFonts w:ascii="Verdana" w:eastAsia="Times New Roman" w:hAnsi="Verdana"/>
          <w:b/>
          <w:bCs/>
          <w:sz w:val="18"/>
          <w:szCs w:val="18"/>
          <w:lang/>
        </w:rPr>
      </w:pPr>
      <w:r w:rsidRPr="0077249C">
        <w:rPr>
          <w:rFonts w:ascii="Verdana" w:eastAsia="Times New Roman" w:hAnsi="Verdana"/>
          <w:b/>
          <w:bCs/>
          <w:sz w:val="18"/>
          <w:szCs w:val="18"/>
          <w:lang/>
        </w:rPr>
        <w:t xml:space="preserve"> </w:t>
      </w:r>
      <w:r w:rsidRPr="004506C1">
        <w:rPr>
          <w:rFonts w:ascii="Verdana" w:eastAsia="Times New Roman" w:hAnsi="Verdana"/>
          <w:b/>
          <w:bCs/>
          <w:sz w:val="18"/>
          <w:szCs w:val="18"/>
          <w:lang/>
        </w:rPr>
        <w:t xml:space="preserve">1. Доказивање испуњености обавезних услова из члана 75. </w:t>
      </w:r>
      <w:r w:rsidRPr="004506C1">
        <w:rPr>
          <w:rFonts w:ascii="Verdana" w:eastAsia="Times New Roman" w:hAnsi="Verdana"/>
          <w:b/>
          <w:bCs/>
          <w:sz w:val="18"/>
          <w:szCs w:val="18"/>
          <w:lang/>
        </w:rPr>
        <w:br/>
        <w:t>Закона за правна лица као понуђаче или подносиоце пријава</w:t>
      </w:r>
    </w:p>
    <w:p w:rsidR="0077249C" w:rsidRPr="004506C1" w:rsidRDefault="0077249C" w:rsidP="0077249C">
      <w:pPr>
        <w:spacing w:before="420" w:after="0" w:line="210" w:lineRule="atLeast"/>
        <w:ind w:firstLine="480"/>
        <w:jc w:val="center"/>
        <w:rPr>
          <w:rFonts w:ascii="Verdana" w:eastAsia="Times New Roman" w:hAnsi="Verdana"/>
          <w:sz w:val="18"/>
          <w:szCs w:val="18"/>
          <w:lang/>
        </w:rPr>
      </w:pPr>
      <w:r w:rsidRPr="004506C1">
        <w:rPr>
          <w:rFonts w:ascii="Verdana" w:eastAsia="Times New Roman" w:hAnsi="Verdana"/>
          <w:sz w:val="18"/>
          <w:szCs w:val="18"/>
          <w:lang/>
        </w:rPr>
        <w:t>Члан 21.</w:t>
      </w:r>
    </w:p>
    <w:p w:rsidR="0077249C" w:rsidRPr="004506C1" w:rsidRDefault="0077249C" w:rsidP="0077249C">
      <w:pPr>
        <w:spacing w:before="100" w:beforeAutospacing="1" w:after="0" w:line="210" w:lineRule="atLeast"/>
        <w:ind w:firstLine="480"/>
        <w:jc w:val="both"/>
        <w:rPr>
          <w:rFonts w:ascii="Verdana" w:eastAsia="Times New Roman" w:hAnsi="Verdana"/>
          <w:sz w:val="18"/>
          <w:szCs w:val="18"/>
          <w:lang/>
        </w:rPr>
      </w:pPr>
      <w:r w:rsidRPr="004506C1">
        <w:rPr>
          <w:rFonts w:ascii="Verdana" w:eastAsia="Times New Roman" w:hAnsi="Verdana"/>
          <w:sz w:val="18"/>
          <w:szCs w:val="18"/>
          <w:lang/>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7249C" w:rsidRPr="004506C1" w:rsidRDefault="0077249C" w:rsidP="0077249C">
      <w:pPr>
        <w:spacing w:before="100" w:beforeAutospacing="1" w:after="0" w:line="210" w:lineRule="atLeast"/>
        <w:ind w:firstLine="480"/>
        <w:jc w:val="both"/>
        <w:rPr>
          <w:rFonts w:ascii="Verdana" w:eastAsia="Times New Roman" w:hAnsi="Verdana"/>
          <w:sz w:val="18"/>
          <w:szCs w:val="18"/>
          <w:lang/>
        </w:rPr>
      </w:pPr>
      <w:r w:rsidRPr="004506C1">
        <w:rPr>
          <w:rFonts w:ascii="Verdana" w:eastAsia="Times New Roman" w:hAnsi="Verdana"/>
          <w:sz w:val="18"/>
          <w:szCs w:val="18"/>
          <w:lang/>
        </w:rPr>
        <w:t xml:space="preserve">2) </w:t>
      </w:r>
      <w:r w:rsidRPr="003E66DC">
        <w:rPr>
          <w:rFonts w:ascii="Verdana" w:eastAsia="Times New Roman" w:hAnsi="Verdana"/>
          <w:sz w:val="18"/>
          <w:szCs w:val="18"/>
          <w:u w:val="single"/>
          <w:lang/>
        </w:rPr>
        <w:t>извода из казнене евиденције, односно уверења надлежног суда и надлежне полицијске управе Министарства унутрашњих</w:t>
      </w:r>
      <w:r w:rsidRPr="004506C1">
        <w:rPr>
          <w:rFonts w:ascii="Verdana" w:eastAsia="Times New Roman" w:hAnsi="Verdana"/>
          <w:sz w:val="18"/>
          <w:szCs w:val="18"/>
          <w:lang/>
        </w:rPr>
        <w:t xml:space="preserve">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514D6" w:rsidRDefault="00E514D6" w:rsidP="0077249C">
      <w:pPr>
        <w:ind w:firstLine="720"/>
        <w:rPr>
          <w:lang w:val="sr-Cyrl-CS"/>
        </w:rPr>
      </w:pPr>
    </w:p>
    <w:p w:rsidR="00082254" w:rsidRDefault="00082254">
      <w:pPr>
        <w:rPr>
          <w:lang w:val="sr-Cyrl-CS"/>
        </w:rPr>
      </w:pPr>
      <w:r>
        <w:rPr>
          <w:lang w:val="sr-Cyrl-CS"/>
        </w:rPr>
        <w:t>С поштовањем,</w:t>
      </w:r>
    </w:p>
    <w:p w:rsidR="00082254" w:rsidRDefault="00082254">
      <w:pPr>
        <w:rPr>
          <w:lang w:val="sr-Cyrl-CS"/>
        </w:rPr>
      </w:pPr>
      <w:r>
        <w:rPr>
          <w:lang w:val="sr-Cyrl-CS"/>
        </w:rPr>
        <w:t xml:space="preserve">                                                                                            </w:t>
      </w:r>
      <w:r w:rsidR="009C6785">
        <w:rPr>
          <w:lang w:val="sr-Cyrl-CS"/>
        </w:rPr>
        <w:t xml:space="preserve">              ЗА КОМИСИЈУ ЗА ЈАВ</w:t>
      </w:r>
      <w:r>
        <w:rPr>
          <w:lang w:val="sr-Cyrl-CS"/>
        </w:rPr>
        <w:t>НЕ НАБАВКЕ</w:t>
      </w:r>
    </w:p>
    <w:p w:rsidR="00082254" w:rsidRDefault="00082254">
      <w:pPr>
        <w:rPr>
          <w:lang w:val="sr-Cyrl-CS"/>
        </w:rPr>
      </w:pPr>
      <w:r>
        <w:rPr>
          <w:lang w:val="sr-Cyrl-CS"/>
        </w:rPr>
        <w:t xml:space="preserve">                                                                                                                 </w:t>
      </w:r>
      <w:r w:rsidR="00A63684">
        <w:rPr>
          <w:lang w:val="sr-Cyrl-CS"/>
        </w:rPr>
        <w:t xml:space="preserve"> </w:t>
      </w:r>
      <w:r>
        <w:rPr>
          <w:lang w:val="sr-Cyrl-CS"/>
        </w:rPr>
        <w:t>Светлана Стојановић</w:t>
      </w:r>
    </w:p>
    <w:p w:rsidR="00082254" w:rsidRPr="00A63684" w:rsidRDefault="00082254" w:rsidP="003E66DC">
      <w:pPr>
        <w:rPr>
          <w:lang w:val="sr-Cyrl-CS"/>
        </w:rPr>
      </w:pPr>
      <w:r>
        <w:rPr>
          <w:lang w:val="sr-Cyrl-CS"/>
        </w:rPr>
        <w:t xml:space="preserve">                                                                                                         </w:t>
      </w:r>
      <w:r w:rsidR="00A63684">
        <w:rPr>
          <w:lang w:val="sr-Cyrl-CS"/>
        </w:rPr>
        <w:t xml:space="preserve"> </w:t>
      </w:r>
      <w:r>
        <w:rPr>
          <w:lang w:val="sr-Cyrl-CS"/>
        </w:rPr>
        <w:t xml:space="preserve"> службеник за јавне набавке</w:t>
      </w:r>
    </w:p>
    <w:sectPr w:rsidR="00082254" w:rsidRPr="00A63684" w:rsidSect="007733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r Times_New_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40470"/>
    <w:multiLevelType w:val="hybridMultilevel"/>
    <w:tmpl w:val="D8CA34CE"/>
    <w:lvl w:ilvl="0" w:tplc="9184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AB9"/>
    <w:rsid w:val="00082254"/>
    <w:rsid w:val="003E66DC"/>
    <w:rsid w:val="00623AB9"/>
    <w:rsid w:val="0077249C"/>
    <w:rsid w:val="0077331F"/>
    <w:rsid w:val="00886F69"/>
    <w:rsid w:val="009C6785"/>
    <w:rsid w:val="00A63684"/>
    <w:rsid w:val="00C3127B"/>
    <w:rsid w:val="00E5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B9"/>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3AB9"/>
    <w:pPr>
      <w:spacing w:after="0" w:line="240" w:lineRule="auto"/>
      <w:ind w:firstLine="720"/>
      <w:jc w:val="both"/>
    </w:pPr>
    <w:rPr>
      <w:rFonts w:ascii="Times New Roman" w:eastAsia="Times New Roman" w:hAnsi="Times New Roman" w:cs="Times New Roman"/>
      <w:sz w:val="24"/>
      <w:szCs w:val="20"/>
      <w:lang w:val="sr-Latn-CS"/>
    </w:rPr>
  </w:style>
  <w:style w:type="character" w:styleId="Hyperlink">
    <w:name w:val="Hyperlink"/>
    <w:basedOn w:val="DefaultParagraphFont"/>
    <w:rsid w:val="00623AB9"/>
    <w:rPr>
      <w:color w:val="0000FF"/>
      <w:u w:val="single"/>
    </w:rPr>
  </w:style>
  <w:style w:type="paragraph" w:styleId="BalloonText">
    <w:name w:val="Balloon Text"/>
    <w:basedOn w:val="Normal"/>
    <w:link w:val="BalloonTextChar"/>
    <w:uiPriority w:val="99"/>
    <w:semiHidden/>
    <w:unhideWhenUsed/>
    <w:rsid w:val="0062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B9"/>
    <w:rPr>
      <w:rFonts w:ascii="Tahoma" w:eastAsia="Calibri"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a.bolnice@bolnicaleskovac.org" TargetMode="External"/><Relationship Id="rId3" Type="http://schemas.openxmlformats.org/officeDocument/2006/relationships/settings" Target="settings.xml"/><Relationship Id="rId7" Type="http://schemas.openxmlformats.org/officeDocument/2006/relationships/hyperlink" Target="http://www.bolnicaleskov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Opsta bolnica Leskovac</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Stojanovic</dc:creator>
  <cp:keywords/>
  <dc:description/>
  <cp:lastModifiedBy>Svetlana Stojanovic</cp:lastModifiedBy>
  <cp:revision>5</cp:revision>
  <dcterms:created xsi:type="dcterms:W3CDTF">2013-05-16T07:52:00Z</dcterms:created>
  <dcterms:modified xsi:type="dcterms:W3CDTF">2013-05-30T06:37:00Z</dcterms:modified>
</cp:coreProperties>
</file>